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>$700,000,000</w:t>
      </w: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>COUNTY OF LOS ANGELES</w:t>
      </w: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>2019-20 TAX AND REVENUE ANTICIPATION NOTES</w:t>
      </w: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WRITTEN AWARD.</w:t>
      </w: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>FINAL PRICING IS AS FOLLOWS:</w:t>
      </w: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>SHORT TERM:</w:t>
      </w: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MIG 1       S&amp;P: SP-1+      </w:t>
      </w:r>
      <w:bookmarkStart w:id="0" w:name="_GoBack"/>
      <w:bookmarkEnd w:id="0"/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FITCH: F1+                </w:t>
      </w: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>:07</w:t>
      </w:r>
      <w:proofErr w:type="gramEnd"/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/01/2019   FIRST COUPON:06/30/2020  DUE: 06/30 </w:t>
      </w: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>INITIAL TRADE DATE: 06/06/2019 @ 11:30AM Eastern</w:t>
      </w: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>Interest Paid at Maturity</w:t>
      </w:r>
    </w:p>
    <w:p w:rsid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>06/30/2020   700,000M     5.00%     1.24   544657HW2</w:t>
      </w: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103.703)   </w:t>
      </w: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>CALL FEATURES:  No optional call</w:t>
      </w: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Bank of America Merrill Lynch                       </w:t>
      </w: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Morgan Stanley &amp; Co. LLC                            </w:t>
      </w: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Drexel Hamilton, LLC                                </w:t>
      </w: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>Mischler</w:t>
      </w:r>
      <w:proofErr w:type="spellEnd"/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Financial Group, Inc.                      </w:t>
      </w: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Stifel, Nicolaus &amp; Company, Inc.                    </w:t>
      </w:r>
    </w:p>
    <w:p w:rsidR="0077317A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5D2499" w:rsidRPr="0077317A" w:rsidRDefault="0077317A" w:rsidP="007731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7317A">
        <w:rPr>
          <w:rFonts w:ascii="Courier New" w:eastAsia="Times New Roman" w:hAnsi="Courier New" w:cs="Courier New"/>
          <w:color w:val="000000"/>
          <w:sz w:val="18"/>
          <w:szCs w:val="18"/>
        </w:rPr>
        <w:t>By: Bank of America Merrill Lynch New York, NY</w:t>
      </w:r>
    </w:p>
    <w:sectPr w:rsidR="005D2499" w:rsidRPr="00773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7A"/>
    <w:rsid w:val="0077317A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49546-8D36-4984-B55F-D4C80318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3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31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SourceMedia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2019-06-06T14:45:00Z</dcterms:created>
  <dcterms:modified xsi:type="dcterms:W3CDTF">2019-06-06T14:46:00Z</dcterms:modified>
</cp:coreProperties>
</file>