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>
        <w:rPr>
          <w:rFonts w:ascii="Courier New" w:eastAsia="Times New Roman" w:hAnsi="Courier New" w:cs="Courier New"/>
          <w:sz w:val="20"/>
          <w:szCs w:val="20"/>
        </w:rPr>
        <w:t>$</w:t>
      </w:r>
      <w:r w:rsidRPr="002240CC">
        <w:rPr>
          <w:rFonts w:ascii="Courier New" w:eastAsia="Times New Roman" w:hAnsi="Courier New" w:cs="Courier New"/>
          <w:sz w:val="20"/>
          <w:szCs w:val="20"/>
        </w:rPr>
        <w:t>523,725,000*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>CALIFORNIA MUNICIPAL FINANCE AUTHORITY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>Student Housing Revenue Bonds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>(CHF-Davis I, L.L.C. - West Village Student Housing Project)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>Series 2018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>WE HAVE RECEIVED THE VERBAL AWARD.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>PLEASE NOTE CHANGES BELOW.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>***PLEASE NOTE THE 05/15/2048 4% IS SUBJECT TO BAM INSURANCE***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 xml:space="preserve">MOODY'S: Baa3               S&amp;P: NR                 FITCH: NR                 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 xml:space="preserve">         (Stable)                                                             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>DATED</w:t>
      </w:r>
      <w:proofErr w:type="gramStart"/>
      <w:r w:rsidRPr="002240CC">
        <w:rPr>
          <w:rFonts w:ascii="Courier New" w:eastAsia="Times New Roman" w:hAnsi="Courier New" w:cs="Courier New"/>
          <w:sz w:val="20"/>
          <w:szCs w:val="20"/>
        </w:rPr>
        <w:t>:12</w:t>
      </w:r>
      <w:proofErr w:type="gramEnd"/>
      <w:r w:rsidRPr="002240CC">
        <w:rPr>
          <w:rFonts w:ascii="Courier New" w:eastAsia="Times New Roman" w:hAnsi="Courier New" w:cs="Courier New"/>
          <w:sz w:val="20"/>
          <w:szCs w:val="20"/>
        </w:rPr>
        <w:t xml:space="preserve">/13/2018   FIRST COUPON:05/15/2019  DUE: 05/15 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 xml:space="preserve">MATURITY      AMOUNT*    COUPON    PRICE 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>05/15/2023      4,450M     5.00%     2.45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 xml:space="preserve">                      (Approx. $ Price 110.623)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>05/15/2024      5,600M     5.00%     2.57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 xml:space="preserve">                      (Approx. $ Price 112.224)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>05/15/2025      6,835M     5.00%     2.71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 xml:space="preserve">                      (Approx. $ Price 113.412)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>05/15/2026      8,160M     5.00%     2.85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 xml:space="preserve">                      (Approx. $ Price 114.289)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>05/15/2027      9,585M     5.00%     2.95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 xml:space="preserve">                      (Approx. $ Price 115.186)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>05/15/2028     10,990M     5.00%     3.06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 xml:space="preserve">                      (Approx. $ Price 115.773)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>05/15/2029     11,540M     5.00%     3.19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 xml:space="preserve">           (Approx. $ Price PTC 11/15/2028 115.288 Approx. YTM 3.258)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>05/15/2030     12,115M     5.00%     3.29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 xml:space="preserve">           (Approx. $ Price PTC 11/15/2028 114.373 Approx. YTM 3.465)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>05/15/2031     12,725M     5.00%     3.38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 xml:space="preserve">           (Approx. $ Price PTC 11/15/2028 113.557 Approx. YTM 3.634)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>05/15/2032     13,360M     5.00%     3.45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 xml:space="preserve">           (Approx. $ Price PTC 11/15/2028 112.927 Approx. YTM 3.764)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>05/15/2033     14,025M     5.00%     3.51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 xml:space="preserve">           (Approx. $ Price PTC 11/15/2028 112.390 Approx. YTM 3.871)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>05/15/2034     14,730M     5.00%     3.57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 xml:space="preserve">           (Approx. $ Price PTC 11/15/2028 111.857 Approx. YTM 3.965)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>05/15/2035     15,465M     5.00%     3.63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 xml:space="preserve">           (Approx. $ Price PTC 11/15/2028 111.326 Approx. YTM 4.049)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>05/15/2036     16,240M     5.00%     3.68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 xml:space="preserve">           (Approx. $ Price PTC 11/15/2028 110.886 Approx. YTM 4.118)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>05/15/2037     17,050M     5.00%     3.73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 xml:space="preserve">           (Approx. $ Price PTC 11/15/2028 110.448 Approx. YTM 4.181)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>05/15/2038     17,905M     5.00%     3.77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 xml:space="preserve">           (Approx. $ Price PTC 11/15/2028 110.100 Approx. YTM 4.232)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>05/15/2039     18,795M     5.00%     3.80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 xml:space="preserve">           (Approx. $ Price PTC 11/15/2028 109.839 Approx. YTM 4.273)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>05/15/2040     19,735M     5.00%     3.83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 xml:space="preserve">           (Approx. $ Price PTC 11/15/2028 109.579 Approx. YTM 4.310)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>05/15/2043     65,335M     5.00%     3.92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(Approx. $ Price PTC 11/15/2028 108.804 Approx. YTM 4.407)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>05/15/2048     71,925M     4.00%     4.14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 xml:space="preserve">                      (Approx. $ Price 97.628)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 xml:space="preserve">           BAM INSURANCE                 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>05/15/2048     60,635M     5.00%     3.99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 xml:space="preserve">           (Approx. $ Price PTC 11/15/2028 108.205 Approx. YTM 4.494)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>05/15/2051     96,525M     5.00%     4.04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 xml:space="preserve">           (Approx. $ Price PTC 11/15/2028 107.780 Approx. YTM 4.539)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 xml:space="preserve">                    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>CALL FEATURES:  Optional call in 11/15/2028 @ 100.00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>EXTRAORDINARY OPTIONAL REDEMPTION: The Series 2018 Bonds are subject to extraordinary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240CC">
        <w:rPr>
          <w:rFonts w:ascii="Courier New" w:eastAsia="Times New Roman" w:hAnsi="Courier New" w:cs="Courier New"/>
          <w:sz w:val="20"/>
          <w:szCs w:val="20"/>
        </w:rPr>
        <w:t>optional redemption as further described on page 8 of the POS.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 xml:space="preserve">                    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>Sinking Fund Schedule</w:t>
      </w:r>
      <w:r>
        <w:rPr>
          <w:rFonts w:ascii="Courier New" w:eastAsia="Times New Roman" w:hAnsi="Courier New" w:cs="Courier New"/>
          <w:sz w:val="20"/>
          <w:szCs w:val="20"/>
        </w:rPr>
        <w:t>s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>2043 Term Bond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>05/15/2041   20,725M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>05/15/2042   21,760M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>05/15/2043   22,850M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>2048 Term Bond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>05/15/2044   12,250M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>05/15/2045   13,700M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>05/15/2046   14,575M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>05/15/2047   15,200M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>05/15/2048   16,200M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>2048 Term Bond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>05/15/2044   10,155M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>05/15/2045   10,370M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>05/15/2046   11,000M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>05/15/2047   13,555M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>05/15/2048   15,555M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>2051 Term Bond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>05/15/2049   30,620M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>05/15/2050   32,150M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>05/15/2051   33,755M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>*APPROXIMATE SUBJECT TO CHANGE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 xml:space="preserve">J.P. Morgan Securities LLC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 xml:space="preserve">Jefferies LLC                                                 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 xml:space="preserve">Bank of America Merrill Lynch                                  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 xml:space="preserve">UBS Financial Services Inc.                                    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 xml:space="preserve">Loop Capital Markets                                           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 xml:space="preserve">Ramirez &amp; Co., Inc.                                            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 xml:space="preserve">Siebert Cisneros Shank &amp; Co., L.L.C.                           </w:t>
      </w:r>
    </w:p>
    <w:p w:rsidR="002240CC" w:rsidRPr="002240CC" w:rsidRDefault="002240CC" w:rsidP="0022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240C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D2499" w:rsidRDefault="002240CC" w:rsidP="002240CC">
      <w:r w:rsidRPr="002240CC">
        <w:rPr>
          <w:rFonts w:ascii="Times New Roman" w:eastAsia="Times New Roman" w:hAnsi="Times New Roman" w:cs="Times New Roman"/>
          <w:sz w:val="24"/>
          <w:szCs w:val="24"/>
        </w:rPr>
        <w:t xml:space="preserve">By: J.P. Morgan Securities </w:t>
      </w:r>
      <w:proofErr w:type="gramStart"/>
      <w:r w:rsidRPr="002240CC">
        <w:rPr>
          <w:rFonts w:ascii="Times New Roman" w:eastAsia="Times New Roman" w:hAnsi="Times New Roman" w:cs="Times New Roman"/>
          <w:sz w:val="24"/>
          <w:szCs w:val="24"/>
        </w:rPr>
        <w:t>LLC  New</w:t>
      </w:r>
      <w:proofErr w:type="gramEnd"/>
      <w:r w:rsidRPr="002240CC">
        <w:rPr>
          <w:rFonts w:ascii="Times New Roman" w:eastAsia="Times New Roman" w:hAnsi="Times New Roman" w:cs="Times New Roman"/>
          <w:sz w:val="24"/>
          <w:szCs w:val="24"/>
        </w:rPr>
        <w:t xml:space="preserve"> York, NY</w:t>
      </w:r>
    </w:p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CC"/>
    <w:rsid w:val="002240CC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925946-30CA-4BC3-BFE1-66EF499E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40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40C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643</Words>
  <Characters>3666</Characters>
  <Application>Microsoft Office Word</Application>
  <DocSecurity>0</DocSecurity>
  <Lines>30</Lines>
  <Paragraphs>8</Paragraphs>
  <ScaleCrop>false</ScaleCrop>
  <Company>SourceMedia</Company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2018-12-06T18:47:00Z</dcterms:created>
  <dcterms:modified xsi:type="dcterms:W3CDTF">2018-12-06T18:55:00Z</dcterms:modified>
</cp:coreProperties>
</file>