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$300,000,000*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MASSACHUSETTS SCHOOL BUILDING AUTHORITY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SUBORDINATED DEDICATED SALES TAX BONDS, 2019 SERIES A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Default="00AE3D27" w:rsidP="00AE3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WE HAVE A RELEASE</w:t>
      </w:r>
    </w:p>
    <w:p w:rsidR="00AE3D27" w:rsidRDefault="00AE3D27" w:rsidP="00AE3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MOODY'S: Aa3 S&amp;P: AA FITCH: AA+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AE3D27">
        <w:rPr>
          <w:rFonts w:ascii="Arial" w:eastAsia="Times New Roman" w:hAnsi="Arial" w:cs="Arial"/>
          <w:color w:val="000000"/>
          <w:sz w:val="24"/>
          <w:szCs w:val="24"/>
        </w:rPr>
        <w:t>:07</w:t>
      </w:r>
      <w:proofErr w:type="gramEnd"/>
      <w:r w:rsidRPr="00AE3D27">
        <w:rPr>
          <w:rFonts w:ascii="Arial" w:eastAsia="Times New Roman" w:hAnsi="Arial" w:cs="Arial"/>
          <w:color w:val="000000"/>
          <w:sz w:val="24"/>
          <w:szCs w:val="24"/>
        </w:rPr>
        <w:t>/31/2019 FIRST COUPON:02/15/2020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E3D27">
        <w:rPr>
          <w:rFonts w:ascii="Arial" w:eastAsia="Times New Roman" w:hAnsi="Arial" w:cs="Arial"/>
          <w:color w:val="000000"/>
          <w:sz w:val="24"/>
          <w:szCs w:val="24"/>
        </w:rPr>
        <w:t>DUE: 02/15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MATUR</w:t>
      </w:r>
      <w:r>
        <w:rPr>
          <w:rFonts w:ascii="Arial" w:eastAsia="Times New Roman" w:hAnsi="Arial" w:cs="Arial"/>
          <w:color w:val="000000"/>
          <w:sz w:val="24"/>
          <w:szCs w:val="24"/>
        </w:rPr>
        <w:t>ITY AMOUNT* COUPON PRICE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2/15/2020 2,520M 5.00% 1.14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102.067)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02/15/2021 4,775M 5.00% 1.18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105.808)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02/15/2022 5,000M 5.00% 1.20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109.473)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02/15/2023 5,000M 5.00% 1.23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113.015)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02/15/2024 5,000M 5.00% 1.27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116.400)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02/15/2025 5,000M 5.00% 1.36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119.356)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02/15/2026 5,000M 5.00% 1.46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121.999)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02/15/2027 5,000M 5.00% 1.52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124.698)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02/15/2028 5,000M 5.00% 1.61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126.943)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02/15/2029 5,000M 5.00% 1.68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129.148)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02/15/2044 111,015M 5.00% 2.49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PTC 02/15/2029 121.193 Approx. YTM 3.681)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 xml:space="preserve">02/15/2049 141,690M 5.00% 2.51 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(Approx. $ Price PTC 02/15/2027 117.004 Approx. YTM 4.012)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CALL FEATURES: Optional call in 02/15/2029 @ 100.00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EXCEPT: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02/15/2049 Optional call in 02/15/2027 @ 100.00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2044 Term Bond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02/15/2040 20,090M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02/15/2041 21,095M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lastRenderedPageBreak/>
        <w:t>02/15/2042 22,150M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02/15/2043 23,260M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02/15/2044 24,420M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2049 Term Bond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02/15/2045 25,640M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02/15/2046 26,925M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02/15/2047 28,270M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02/15/2048 29,685M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02/15/2049 31,170M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Citigroup Global Markets Inc.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Barclays Capital Inc.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Bank of America Merrill Lynch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Goldman Sachs &amp; Co. LLC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Ramirez &amp; Co., Inc.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RBC Capital Markets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Siebert Cisneros Shank &amp; Co., L.L.C.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UBS Financial Services Inc.</w:t>
      </w:r>
    </w:p>
    <w:p w:rsidR="00AE3D27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D2499" w:rsidRPr="00AE3D27" w:rsidRDefault="00AE3D27" w:rsidP="00AE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27">
        <w:rPr>
          <w:rFonts w:ascii="Arial" w:eastAsia="Times New Roman" w:hAnsi="Arial" w:cs="Arial"/>
          <w:color w:val="000000"/>
          <w:sz w:val="24"/>
          <w:szCs w:val="24"/>
        </w:rPr>
        <w:t>By: Citigroup Global Markets Inc. New York, NY</w:t>
      </w:r>
    </w:p>
    <w:sectPr w:rsidR="005D2499" w:rsidRPr="00A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7"/>
    <w:rsid w:val="0086795B"/>
    <w:rsid w:val="00AE3D27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5E413-5E28-49D9-80B4-C99B530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Company>SourceMedia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2019-07-17T16:25:00Z</dcterms:created>
  <dcterms:modified xsi:type="dcterms:W3CDTF">2019-07-17T16:27:00Z</dcterms:modified>
</cp:coreProperties>
</file>