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>$329,665,000*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>STATE OF WISCONSIN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>GENERAL OBLIGATION REFUNDING BONDS OF 2019, SERIES 1 (TAXABLE)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>COUPON HAS BEEN SET.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*********************** ATTENTION **********************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>THE BONDS ARE TAXABLE MUNICIPAL SECURITIES AND THIS OFFERING IS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>SUBJECT TO REGULATION BY THE MUNICIPAL SECURITIES RULEMAKING BOARD. ALL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>ACTIVITY UNDERTAKEN WITH RESPECT TO THIS OFFERING MUST BE SUPERVISED BY A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>MUNICIPAL SECURITIES PRINCIPAL.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>MOODY'S: Aa1        S&amp;P: AA         FITCH: NR      KROLL: AA+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>:10</w:t>
      </w:r>
      <w:proofErr w:type="gramEnd"/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/30/2019   FIRST COUPON:05/01/2020 DUE: 05/01 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ALL BONDS ARE PRICED AT PAR.     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05/01/2023      4,680M    1.757% 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05/01/2024      4,760M    1.857% 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05/01/2025      4,850M    2.009% 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05/01/2026      4,950M    2.089% 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05/01/2027     33,330M    2.141% 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05/01/2028      7,415M    2.231% 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05/01/2029     14,275M    2.281% 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05/01/2030     56,540M    2.381% 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05/01/2031     53,795M    2.451% 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05/01/2032     87,315M    2.501% 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05/01/2033     57,755M    2.531% </w:t>
      </w:r>
    </w:p>
    <w:p w:rsid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TAXABLE INFORMATION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TREASURY   SPREAD VS. TREASURY   </w:t>
      </w:r>
      <w:proofErr w:type="spellStart"/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>TREASURY</w:t>
      </w:r>
      <w:proofErr w:type="spellEnd"/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COUPON  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YIELD                           COUPON    MATURITY 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05/01/2023     </w:t>
      </w:r>
      <w:proofErr w:type="gramStart"/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>1.507  +</w:t>
      </w:r>
      <w:proofErr w:type="gramEnd"/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>25.00                    1.500  09/30/2024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05/01/2024     </w:t>
      </w:r>
      <w:proofErr w:type="gramStart"/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>1.507  +</w:t>
      </w:r>
      <w:proofErr w:type="gramEnd"/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>35.00                    1.500  09/30/2024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05/01/2025     </w:t>
      </w:r>
      <w:proofErr w:type="gramStart"/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>1.589  +</w:t>
      </w:r>
      <w:proofErr w:type="gramEnd"/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>42.00                    1.625  09/30/2026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05/01/2026     </w:t>
      </w:r>
      <w:proofErr w:type="gramStart"/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>1.589  +</w:t>
      </w:r>
      <w:proofErr w:type="gramEnd"/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>50.00                    1.625  09/30/2026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05/01/2027     </w:t>
      </w:r>
      <w:proofErr w:type="gramStart"/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>1.651  +</w:t>
      </w:r>
      <w:proofErr w:type="gramEnd"/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>49.00                    1.625  08/15/2029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05/01/2028     </w:t>
      </w:r>
      <w:proofErr w:type="gramStart"/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>1.651  +</w:t>
      </w:r>
      <w:proofErr w:type="gramEnd"/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>58.00                    1.625  08/15/2029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05/01/2029     </w:t>
      </w:r>
      <w:proofErr w:type="gramStart"/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>1.651  +</w:t>
      </w:r>
      <w:proofErr w:type="gramEnd"/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>63.00                    1.625  08/15/2029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05/01/2030     </w:t>
      </w:r>
      <w:proofErr w:type="gramStart"/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>1.651  +</w:t>
      </w:r>
      <w:proofErr w:type="gramEnd"/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>73.00                    1.625  08/15/2029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05/01/2031     </w:t>
      </w:r>
      <w:proofErr w:type="gramStart"/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>1.651  +</w:t>
      </w:r>
      <w:proofErr w:type="gramEnd"/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>80.00                    1.625  08/15/2029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05/01/2032     </w:t>
      </w:r>
      <w:proofErr w:type="gramStart"/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>1.651  +</w:t>
      </w:r>
      <w:proofErr w:type="gramEnd"/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>85.00                    1.625  08/15/2029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05/01/2033     </w:t>
      </w:r>
      <w:proofErr w:type="gramStart"/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>1.651  +</w:t>
      </w:r>
      <w:proofErr w:type="gramEnd"/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>88.00                    1.625  08/15/2029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>CALL FEATURES:  Make Whole Call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>THE 2023 and 2024 BONDS ARE SUBJECT TO A "MAKE-WHOLE" CALL AT A PRICE EQUAL TO THE GREATER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>OF 1)100% OF THE PRINCIPAL AMOUNT, AND 2) TREASURY RATE +5 BASIS POINTS.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>THE 2025-2029 BONDS ARE SUBJECT TO A "MAKE-WHOLE" CALL AT A PRICE EQUAL TO THE GREATER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>OF 1)100% OF THE PRINCIPAL AMOUNT, AND 2) TREASURY RATE +10 BASIS POINTS.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>THE 2030-2033 BONDS ARE SUBJECT TO A "MAKE-WHOLE" CALL AT A PRICE EQUAL TO THE GREATER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>OF 1)100% OF THE PRINCIPAL AMOUNT, AND 2) TREASURY RATE +15 BASIS POINTS.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Goldman Sachs &amp; Co. LLC                          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Loop Capital Markets                             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Academy Securities                               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FTN Financial Capital Markets                    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J.P. Morgan Securities LLC                       </w:t>
      </w:r>
    </w:p>
    <w:p w:rsidR="00A8559A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RBC Capital Markets                              </w:t>
      </w:r>
    </w:p>
    <w:p w:rsidR="00E65389" w:rsidRPr="00A8559A" w:rsidRDefault="00A8559A" w:rsidP="00A85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Goldman Sachs &amp; Co. </w:t>
      </w:r>
      <w:proofErr w:type="gramStart"/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>LLC  New</w:t>
      </w:r>
      <w:proofErr w:type="gramEnd"/>
      <w:r w:rsidRPr="00A855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E65389" w:rsidRPr="00A85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9A"/>
    <w:rsid w:val="00555D7E"/>
    <w:rsid w:val="00A8559A"/>
    <w:rsid w:val="00B0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A93E2-CCCD-41D3-B3D0-1225BA93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5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559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2019-10-01T18:56:00Z</dcterms:created>
  <dcterms:modified xsi:type="dcterms:W3CDTF">2019-10-01T19:02:00Z</dcterms:modified>
</cp:coreProperties>
</file>