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$137,795,000*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Virginia College Building Authority, Virginia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Educational Facilities Revenue Bonds (Public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Higher Education Financing Program) Series 2018A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Citigroup Global Markets </w:t>
      </w:r>
      <w:proofErr w:type="spellStart"/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Inc</w:t>
      </w:r>
      <w:proofErr w:type="spellEnd"/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is the winning bid.</w:t>
      </w:r>
    </w:p>
    <w:p w:rsid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MOODY'S: Aa1         S&amp;P: AA+     </w:t>
      </w:r>
      <w:bookmarkStart w:id="0" w:name="_GoBack"/>
      <w:bookmarkEnd w:id="0"/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FITCH: AA+</w:t>
      </w:r>
    </w:p>
    <w:p w:rsid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DATED</w:t>
      </w:r>
      <w:proofErr w:type="gramStart"/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:12</w:t>
      </w:r>
      <w:proofErr w:type="gramEnd"/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/04/2018   FIRST COUPON:03/01/2019 DUE: 09/01</w:t>
      </w:r>
    </w:p>
    <w:p w:rsid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MATURITY      AMOUNT*    COUPON    PRICE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09/01/2019      3,720M     5.00%     1.97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102.217)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09/01/2020      4,440M     5.00%     2.12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104.895)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09/01/2021      4,660M     5.00%     2.20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107.406)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09/01/2022      4,895M     5.00%     2.28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109.698)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09/01/2023      5,160M     5.00%     2.39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111.631)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09/01/2024      5,415M     5.00%     2.48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113.405)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09/01/2025      5,695M     5.00%     2.56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115.016)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09/01/2026      5,985M     5.00%     2.66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116.270)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09/01/2027      6,285M     5.00%     2.79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117.034)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09/01/2028      6,620M     5.00%     2.90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117.706)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09/01/2029      6,955M     5.00%     3.02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09/01/2028 116.597 Approx. YTM 3.165)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09/01/2030      7,315M     5.00%     3.10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09/01/2028 115.865 Approx. YTM 3.354)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09/01/2031      7,640M     5.00%     3.16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09/01/2028 115.320 Approx. YTM 3.499)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09/01/2032      7,960M     5.00%     3.20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09/01/2028 114.958 Approx. YTM 3.609)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09/01/2033      8,285M     5.00%     3.25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09/01/2028 114.507 Approx. YTM 3.713)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09/01/2034      8,620M     5.00%     3.30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09/01/2028 114.059 Approx. YTM 3.804)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09/01/2035      8,970M     4.00%     3.67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09/01/2028 102.677 Approx. YTM 3.782)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09/01/2036      9,335M     4.00%     3.75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09/01/2028 102.019 Approx. YTM 3.842)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09/01/2037      9,725M     4.00%     3.81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09/01/2028 101.529 Approx. YTM 3.884)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09/01/2038     10,115M     4.00%     3.84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09/01/2028 101.285 Approx. YTM 3.906)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---------------------------------------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CALL FEATURES:  Optional call in 09/01/2028 @ 100.00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*APPROXIMATE SUBJECT TO CHANGE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Citigroup Global Markets </w:t>
      </w:r>
      <w:proofErr w:type="spellStart"/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Inc</w:t>
      </w:r>
      <w:proofErr w:type="spellEnd"/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Roosevelt &amp; Cross, Inc.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Ramirez &amp; Co., Inc.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Siebert Cisneros Shank &amp; Co., L.L.C.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Drexel Hamilton, LLC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Williams Capital Group L.P.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Loop Capital Markets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lastRenderedPageBreak/>
        <w:t>Tribal Capital Markets LLC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spellStart"/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Intercoastal</w:t>
      </w:r>
      <w:proofErr w:type="spellEnd"/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Capital Markets Inc.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spellStart"/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Amuni</w:t>
      </w:r>
      <w:proofErr w:type="spellEnd"/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Financial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spellStart"/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Wedbush</w:t>
      </w:r>
      <w:proofErr w:type="spellEnd"/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Securities Inc.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First Empire Securities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spellStart"/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Stifel</w:t>
      </w:r>
      <w:proofErr w:type="spellEnd"/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, Nicolaus &amp; Company, Inc.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Rice Financial Products Company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proofErr w:type="spellStart"/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Mischler</w:t>
      </w:r>
      <w:proofErr w:type="spellEnd"/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Financial Group, Inc.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M&amp;T Securities, Inc.</w:t>
      </w:r>
    </w:p>
    <w:p w:rsidR="00DC0F09" w:rsidRPr="00DC0F09" w:rsidRDefault="00DC0F09" w:rsidP="00DC0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By: Citigroup Global Markets </w:t>
      </w:r>
      <w:proofErr w:type="spellStart"/>
      <w:proofErr w:type="gramStart"/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>Inc</w:t>
      </w:r>
      <w:proofErr w:type="spellEnd"/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New</w:t>
      </w:r>
      <w:proofErr w:type="gramEnd"/>
      <w:r w:rsidRPr="00DC0F09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York, NY</w:t>
      </w:r>
    </w:p>
    <w:p w:rsidR="005D2499" w:rsidRDefault="00DC0F09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09"/>
    <w:rsid w:val="0086795B"/>
    <w:rsid w:val="00D906B4"/>
    <w:rsid w:val="00DC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86872-D471-4A0B-9191-E4B73924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0F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0F0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2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SourceMedia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2018-11-06T15:35:00Z</dcterms:created>
  <dcterms:modified xsi:type="dcterms:W3CDTF">2018-11-06T15:37:00Z</dcterms:modified>
</cp:coreProperties>
</file>