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$152,330,000*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CITY OF AUSTIN, TEXAS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AIRPORT SYSTEM REVENUE REFUNDING BONDS, SERIES 2019 (AMT)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******************* SUBJECT TO ALTERNATIVE MINIMUM TAX ******************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MOODY'S: A1 S&amp;P: A FITCH: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29A6">
        <w:rPr>
          <w:rFonts w:ascii="Arial" w:eastAsia="Times New Roman" w:hAnsi="Arial" w:cs="Arial"/>
          <w:color w:val="000000"/>
          <w:sz w:val="24"/>
          <w:szCs w:val="24"/>
        </w:rPr>
        <w:t>KROLL: AA-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3A29A6">
        <w:rPr>
          <w:rFonts w:ascii="Arial" w:eastAsia="Times New Roman" w:hAnsi="Arial" w:cs="Arial"/>
          <w:color w:val="000000"/>
          <w:sz w:val="24"/>
          <w:szCs w:val="24"/>
        </w:rPr>
        <w:t>:05</w:t>
      </w:r>
      <w:proofErr w:type="gramEnd"/>
      <w:r w:rsidRPr="003A29A6">
        <w:rPr>
          <w:rFonts w:ascii="Arial" w:eastAsia="Times New Roman" w:hAnsi="Arial" w:cs="Arial"/>
          <w:color w:val="000000"/>
          <w:sz w:val="24"/>
          <w:szCs w:val="24"/>
        </w:rPr>
        <w:t>/08/2019 FIRST COUPON:11/15/2019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29A6">
        <w:rPr>
          <w:rFonts w:ascii="Arial" w:eastAsia="Times New Roman" w:hAnsi="Arial" w:cs="Arial"/>
          <w:color w:val="000000"/>
          <w:sz w:val="24"/>
          <w:szCs w:val="24"/>
        </w:rPr>
        <w:t>DUE: 11/15</w:t>
      </w:r>
    </w:p>
    <w:p w:rsidR="003A29A6" w:rsidRDefault="003A29A6" w:rsidP="003A2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MATURITY SPR</w:t>
      </w:r>
      <w:r>
        <w:rPr>
          <w:rFonts w:ascii="Arial" w:eastAsia="Times New Roman" w:hAnsi="Arial" w:cs="Arial"/>
          <w:color w:val="000000"/>
          <w:sz w:val="24"/>
          <w:szCs w:val="24"/>
        </w:rPr>
        <w:t>EAD AMOUNT* COUPON PRICE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 xml:space="preserve">11/15/2019 +24 10,900M 5.00% 1.79 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(Approx. $ Price 101.651)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 xml:space="preserve">11/15/2020 +27 22,535M 5.00% 1.82 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(Approx. $ Price 104.743)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 xml:space="preserve">11/15/2021 +31 21,785M 5.00% 1.88 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(Approx. $ Price 107.641)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 xml:space="preserve">11/15/2022 +36 22,740M 5.00% 1.96 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(Approx. $ Price 110.289)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 xml:space="preserve">11/15/2023 +40 23,740M 5.00% 2.05 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(Approx. $ Price 112.671)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 xml:space="preserve">11/15/2024 +42 24,775M 5.00% 2.12 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(Approx. $ Price 114.926)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 xml:space="preserve">11/15/2025 +42 25,855M 5.00% 2.15 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(Approx. $ Price 117.250)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CALL FEATURES: No optional call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3A29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Baird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Ramirez &amp; Co., Inc.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Siebert Cisneros Shank &amp; Co., L.L.C.</w:t>
      </w:r>
    </w:p>
    <w:p w:rsidR="003A29A6" w:rsidRPr="003A29A6" w:rsidRDefault="003A29A6" w:rsidP="003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9A6">
        <w:rPr>
          <w:rFonts w:ascii="Arial" w:eastAsia="Times New Roman" w:hAnsi="Arial" w:cs="Arial"/>
          <w:color w:val="000000"/>
          <w:sz w:val="24"/>
          <w:szCs w:val="24"/>
        </w:rPr>
        <w:t>By: Morgan Stanley &amp; Co. LLC New York, NY</w:t>
      </w:r>
    </w:p>
    <w:p w:rsidR="005D2499" w:rsidRDefault="003A29A6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A6"/>
    <w:rsid w:val="003A29A6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2DAD-64E1-46EA-8BFC-FB01E158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SourceMedia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2019-04-23T15:14:00Z</dcterms:created>
  <dcterms:modified xsi:type="dcterms:W3CDTF">2019-04-23T15:18:00Z</dcterms:modified>
</cp:coreProperties>
</file>