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B20C91">
        <w:rPr>
          <w:rFonts w:ascii="Arial" w:eastAsia="Times New Roman" w:hAnsi="Arial" w:cs="Arial"/>
          <w:color w:val="000000"/>
          <w:sz w:val="24"/>
          <w:szCs w:val="24"/>
        </w:rPr>
        <w:t>$283,875,000*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COUNTY OF MONTGOMERY, OHIO Hospital Facilities Revenue Refunding Bonds, Series 2019A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(Premier Health Partners Obligated Group)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We have a release.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 xml:space="preserve">MOODY'S: Baa1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Pr="00B20C91">
        <w:rPr>
          <w:rFonts w:ascii="Arial" w:eastAsia="Times New Roman" w:hAnsi="Arial" w:cs="Arial"/>
          <w:color w:val="000000"/>
          <w:sz w:val="24"/>
          <w:szCs w:val="24"/>
        </w:rPr>
        <w:t xml:space="preserve">S&amp;P: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Pr="00B20C91">
        <w:rPr>
          <w:rFonts w:ascii="Arial" w:eastAsia="Times New Roman" w:hAnsi="Arial" w:cs="Arial"/>
          <w:color w:val="000000"/>
          <w:sz w:val="24"/>
          <w:szCs w:val="24"/>
        </w:rPr>
        <w:t>FITCH: A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</w:t>
      </w:r>
      <w:r w:rsidRPr="00B20C91">
        <w:rPr>
          <w:rFonts w:ascii="Arial" w:eastAsia="Times New Roman" w:hAnsi="Arial" w:cs="Arial"/>
          <w:color w:val="000000"/>
          <w:sz w:val="24"/>
          <w:szCs w:val="24"/>
        </w:rPr>
        <w:t>(Negative)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</w:t>
      </w:r>
      <w:r w:rsidRPr="00B20C91">
        <w:rPr>
          <w:rFonts w:ascii="Arial" w:eastAsia="Times New Roman" w:hAnsi="Arial" w:cs="Arial"/>
          <w:color w:val="000000"/>
          <w:sz w:val="24"/>
          <w:szCs w:val="24"/>
        </w:rPr>
        <w:t xml:space="preserve"> (Stable)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DATED</w:t>
      </w:r>
      <w:proofErr w:type="gramStart"/>
      <w:r w:rsidRPr="00B20C91">
        <w:rPr>
          <w:rFonts w:ascii="Arial" w:eastAsia="Times New Roman" w:hAnsi="Arial" w:cs="Arial"/>
          <w:color w:val="000000"/>
          <w:sz w:val="24"/>
          <w:szCs w:val="24"/>
        </w:rPr>
        <w:t>:09</w:t>
      </w:r>
      <w:proofErr w:type="gramEnd"/>
      <w:r w:rsidRPr="00B20C91">
        <w:rPr>
          <w:rFonts w:ascii="Arial" w:eastAsia="Times New Roman" w:hAnsi="Arial" w:cs="Arial"/>
          <w:color w:val="000000"/>
          <w:sz w:val="24"/>
          <w:szCs w:val="24"/>
        </w:rPr>
        <w:t>/24/2019 FIRST COUPON:11/15/2019 DUE: 11/15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MATURITY AMOUNT* COUPON PRICE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 xml:space="preserve">11/15/2024 6,560M 5.00% 1.39 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(Approx. $ Price 117.852)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 xml:space="preserve">11/15/2025 8,345M 5.00% 1.49 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(Approx. $ Price 120.525)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 xml:space="preserve">11/15/2026 9,180M 5.00% 1.61 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(Approx. $ Price 122.781)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 xml:space="preserve">11/15/2027 9,470M 5.00% 1.73 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(Approx. $ Price 124.731)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 xml:space="preserve">11/15/2028 9,775M 5.00% 1.85 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(Approx. $ Price 126.378)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 xml:space="preserve">11/15/2029 9,730M 5.00% 1.95 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(Approx. $ Price 127.940)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 xml:space="preserve">11/15/2030 10,185M 5.00% 2.03 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(Approx. $ Price PTC 11/15/2029 127.096)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 xml:space="preserve">11/15/2031 10,875M 5.00% 2.10 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(Approx. $ Price PTC 11/15/2029 126.363)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 xml:space="preserve">11/15/2032 11,265M 5.00% 2.17 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(Approx. $ Price PTC 11/15/2029 125.635)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 xml:space="preserve">11/15/2033 11,730M 5.00% 2.23 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(Approx. $ Price PTC 11/15/2029 125.015)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 xml:space="preserve">11/15/2034 12,370M 5.00% 2.28 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(Approx. $ Price PTC 11/15/2029 124.501)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 xml:space="preserve">11/15/2035 12,690M 5.00% 2.32 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(Approx. $ Price PTC 11/15/2029 124.092)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 xml:space="preserve">11/15/2036 13,250M 3.00% 100.00 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 xml:space="preserve">11/15/2037 20,185M 5.00% 2.40 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(Approx. $ Price PTC 11/15/2029 123.278)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 xml:space="preserve">11/15/2038 22,635M 4.00% 2.67 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(Approx. $ Price PTC 11/15/2029 111.745)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 xml:space="preserve">11/15/2039 23,770M 4.00% 2.71 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(Approx. $ Price PTC 11/15/2029 111.369)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11/15/2040 10,000M 3.00% 98.00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(Approx. Yield 3.130)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 xml:space="preserve">11/15/2042 46,770M 4.00% 2.81 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(Approx. $ Price PTC 11/15/2029 110.435)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 xml:space="preserve">11/15/2045 25,090M 4.00% 2.86 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(Approx. $ Price PTC 11/15/2029 109.971)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CALL FEATURES: Optional call in 11/15/2029 @ 100.00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Sinking Fund Schedule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2042 Term Bond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11/15/2040 10,755M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11/15/2041 21,820M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11/15/2042 14,195M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Sinking Fund Schedule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2045 Term Bond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11/15/2043 7,980M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11/15/2044 8,355M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11/15/2045 8,755M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*APPROXIMATE SUBJECT TO CHANGE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Barclays Capital Inc.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PNC Capital Markets LLC</w:t>
      </w:r>
    </w:p>
    <w:p w:rsidR="00B20C91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D2499" w:rsidRPr="00B20C91" w:rsidRDefault="00B20C91" w:rsidP="00B20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0C91">
        <w:rPr>
          <w:rFonts w:ascii="Arial" w:eastAsia="Times New Roman" w:hAnsi="Arial" w:cs="Arial"/>
          <w:color w:val="000000"/>
          <w:sz w:val="24"/>
          <w:szCs w:val="24"/>
        </w:rPr>
        <w:t>By: Barclays Capital Inc. New York, NY</w:t>
      </w:r>
    </w:p>
    <w:sectPr w:rsidR="005D2499" w:rsidRPr="00B20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91"/>
    <w:rsid w:val="0086795B"/>
    <w:rsid w:val="00B20C91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5CA3F-1388-4055-8967-23C6A851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0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1672</Characters>
  <Application>Microsoft Office Word</Application>
  <DocSecurity>0</DocSecurity>
  <Lines>13</Lines>
  <Paragraphs>3</Paragraphs>
  <ScaleCrop>false</ScaleCrop>
  <Company>SourceMedia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2019-08-14T15:34:00Z</dcterms:created>
  <dcterms:modified xsi:type="dcterms:W3CDTF">2019-08-14T15:37:00Z</dcterms:modified>
</cp:coreProperties>
</file>