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>$452,945,000*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>New York City Municipal Water Finance Authority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>Water and Sewer System Second General Resolution Revenue Bonds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>Fiscal 2020 Series AA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RETAIL ORDER PERIOD WILL BE UNTIL 3:30PM EST MONDAY,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>JUNE 24TH.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MOODY'S: Aa1            S&amp;P: AA+           FITCH: AA+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Stable Outlook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Stable Outlook       Stable</w:t>
      </w:r>
      <w:bookmarkStart w:id="0" w:name="_GoBack"/>
      <w:bookmarkEnd w:id="0"/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Outlook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>:07</w:t>
      </w:r>
      <w:proofErr w:type="gramEnd"/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/02/2019   FIRST COUPON:12/15/2019  DUE: 06/15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MATURITY      AMOUNT*    COUPON    PRICE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06/15/2020      7,745M     4.00%     1.20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(Approx. $ Price 102.644)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06/15/2021     10,250M     4.00%     1.22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(Approx. $ Price 105.347)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06/15/2024     16,110M     4.00%     1.31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(Approx. $ Price 112.858)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06/15/2025      9,875M     5.00%     1.36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(Approx. $ Price 120.745)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06/15/2026      7,060M     5.00%     1.44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(Approx. $ Price 123.472)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06/15/2027     30,100M     5.00%     1.54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(Approx. $ Price 125.804)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06/15/2027     30,095M     4.00%     1.54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(Approx. $ Price 118.346)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06/15/2027     40,000M NO RETAIL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06/15/2032     25,735M     5.00%     2.00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(Approx. $ Price PTC 12/15/2029 128.169 Approx. YTM 2.449)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06/15/2032     25,735M NO RETAIL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06/15/2040     20,000M     4.00%     2.67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(Approx. $ Price PTC 12/15/2029 112.059 Approx. YTM 3.205)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06/15/2040     20,000M     5.00%     2.40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(Approx. $ Price PTC 12/15/2029 123.909 Approx. YTM 3.396)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06/15/2040    210,240M NO RETAIL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>CALL FEATURES:  Optional call in 12/15/2029 @ 100.00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>*APPROXIMATE SUBJECT TO CHANGE</w:t>
      </w:r>
    </w:p>
    <w:p w:rsid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Raymond James &amp; Associates, Inc.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Barclays Capital Inc.   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Siebert Cisneros Shank &amp; Co., L.L.C.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Bank of America Merrill Lynch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Citigroup Global Markets Inc.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Fidelity Capital Markets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Goldman Sachs &amp; Co. LLC 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J.P. Morgan Securities LLC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Jefferies LLC           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Loop Capital Markets    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Morgan Stanley &amp; Co. LLC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Ramirez &amp; Co., Inc.     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RBC Capital Markets     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Roosevelt &amp; Cross, Inc. 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TD Securities (USA) LLC 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U.S. Bancorp Investments Inc.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Wells Fargo Securities (trade name for Wells Fargo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Bank N.A. Municipal Products Group)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Academy Securities      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Blaylock Van, LLC       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Cabrera Capital Markets, LLC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Mesirow Financial Inc.  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>Mischler</w:t>
      </w:r>
      <w:proofErr w:type="spellEnd"/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Financial Group, Inc.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PNC Capital Markets LLC    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Rice Financial Products Company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Stifel, Nicolaus &amp; Company, Inc.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Williams Capital Group L.P.                             </w:t>
      </w:r>
    </w:p>
    <w:p w:rsidR="00C049A2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5D2499" w:rsidRPr="00C049A2" w:rsidRDefault="00C049A2" w:rsidP="00C04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049A2">
        <w:rPr>
          <w:rFonts w:ascii="Courier New" w:eastAsia="Times New Roman" w:hAnsi="Courier New" w:cs="Courier New"/>
          <w:color w:val="000000"/>
          <w:sz w:val="24"/>
          <w:szCs w:val="24"/>
        </w:rPr>
        <w:t>By: Raymond James &amp; Associates, Inc.  New York, NY</w:t>
      </w:r>
    </w:p>
    <w:sectPr w:rsidR="005D2499" w:rsidRPr="00C0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A2"/>
    <w:rsid w:val="0086795B"/>
    <w:rsid w:val="00C049A2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2F190-A0BF-48AE-9541-C0E5B872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9A2"/>
    <w:rPr>
      <w:rFonts w:ascii="Courier New" w:eastAsia="Times New Roman" w:hAnsi="Courier New" w:cs="Courier New"/>
      <w:sz w:val="20"/>
      <w:szCs w:val="20"/>
    </w:rPr>
  </w:style>
  <w:style w:type="character" w:customStyle="1" w:styleId="m6800465471489785978bbscopedstyle307269701405430">
    <w:name w:val="m_6800465471489785978bbscopedstyle307269701405430"/>
    <w:basedOn w:val="DefaultParagraphFont"/>
    <w:rsid w:val="00C049A2"/>
  </w:style>
  <w:style w:type="character" w:styleId="Hyperlink">
    <w:name w:val="Hyperlink"/>
    <w:basedOn w:val="DefaultParagraphFont"/>
    <w:uiPriority w:val="99"/>
    <w:semiHidden/>
    <w:unhideWhenUsed/>
    <w:rsid w:val="00C04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Company>SourceMedia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2019-06-24T15:22:00Z</dcterms:created>
  <dcterms:modified xsi:type="dcterms:W3CDTF">2019-06-24T15:26:00Z</dcterms:modified>
</cp:coreProperties>
</file>