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$750,000,000*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State of Connecticut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General Obligation Bonds (2019 Series A)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We have received the verbal award.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MOODY'S: A1          S&amp;P: A            FITCH: A+        </w:t>
      </w: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KROLL:  AA-</w:t>
      </w: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(</w:t>
      </w:r>
      <w:proofErr w:type="gram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stable</w:t>
      </w:r>
      <w:proofErr w:type="gram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)         (</w:t>
      </w:r>
      <w:proofErr w:type="gram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positive</w:t>
      </w:r>
      <w:proofErr w:type="gram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)          (</w:t>
      </w:r>
      <w:proofErr w:type="gram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stable</w:t>
      </w:r>
      <w:proofErr w:type="gram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)          (</w:t>
      </w:r>
      <w:proofErr w:type="gram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negative</w:t>
      </w:r>
      <w:proofErr w:type="gram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)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DATED</w:t>
      </w:r>
      <w:proofErr w:type="gram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:04</w:t>
      </w:r>
      <w:proofErr w:type="gram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/11/2019   FIRST COUPON:10/15/2019  DUE: 04/15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MATURITY      AMOUNT*    COUPON    PRICE  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04/15/2020     37,500M     5.00%     1.68</w:t>
      </w:r>
      <w:proofErr w:type="gram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 SEALED</w:t>
      </w:r>
      <w:proofErr w:type="gram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BID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 (Approx. $ Price 103.314)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04/15/2021     22,500M     5.00%     1.80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106.292)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04/15/2021     15,000M     3.00%     1.80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102.359)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04/15/2022     37,500M     5.00%     1.87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109.122)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04/15/2023     37,500M     5.00%     1.95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111.712)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04/15/2024     29,290M     5.00%     2.04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114.031)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04/15/2024      8,210M     3.00%     2.04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104.550)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04/15/2025     37,500M     5.00%     2.15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115.990)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04/15/2026     37,500M     5.00%     2.25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117.744)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04/15/2027     37,265M     5.00%     2.35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119.247)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04/15/2027        235M     4.00%     2.35       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111.984)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04/15/2028     37,500M     5.00%     2.42 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120.775)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04/15/2029     37,500M     5.00%     2.51       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(Approx. $ Price 121.921)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04/15/2030     37,500M     5.00%     2.60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121.034)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04/15/2031     37,500M     5.00%     2.72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119.863)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04/15/2032     37,500M     5.00%     2.79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119.187)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04/15/2033     37,500M     5.00%     2.85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118.610)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04/15/2034     37,500M     5.00%     2.87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118.419)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04/15/2035     37,500M     5.00%     2.92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117.942)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04/15/2036     37,500M     5.00%     2.94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117.752)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04/15/2037     37,500M     4.00%     3.26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106.277)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04/15/2038     37,500M     4.00%     3.30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105.926)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t>04/15/2039     37,500M     5.00%     3.06      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(Approx. $ Price PTC 04/15/2029 116.619)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CALL FEATURES:  Optional call in 04/15/2029 @ 100.00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*APPROXIMATE SUBJECT TO CHANGE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Barclays Capital Inc.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Ramirez &amp; Co., Inc. 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Citigroup Global Markets Inc.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Loop Capital Markets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RBC Capital Markets 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Williams Capital Group L.P.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Academy Securities  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Blaylock Van, LLC   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Drexel Hamilton, LLC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Fidelity Capital Markets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FTN Financial Capital Markets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Janney Montgomery Scott LLC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KeyBanc</w:t>
      </w:r>
      <w:proofErr w:type="spell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Capital Markets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Mesirow Financial Inc.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Mischler</w:t>
      </w:r>
      <w:proofErr w:type="spell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Financial Group, Inc.                  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NW Capital Markets </w:t>
      </w:r>
      <w:proofErr w:type="spell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Inc</w:t>
      </w:r>
      <w:proofErr w:type="spell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Oppenheimer &amp; Co.   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Piper </w:t>
      </w:r>
      <w:proofErr w:type="spellStart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Jaffray</w:t>
      </w:r>
      <w:proofErr w:type="spellEnd"/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&amp; Co  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PNC Capital Markets LLC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Prager &amp; Co., LLC                           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Rice Financial Products Company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Stern Brothers &amp; Co.   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TD Securities (USA) LLC                           </w:t>
      </w:r>
    </w:p>
    <w:p w:rsidR="00B9076A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5D2499" w:rsidRPr="00B9076A" w:rsidRDefault="00B9076A" w:rsidP="00B9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76A">
        <w:rPr>
          <w:rFonts w:ascii="Times New Roman" w:eastAsia="Times New Roman" w:hAnsi="Times New Roman" w:cs="Times New Roman"/>
          <w:color w:val="222222"/>
          <w:sz w:val="24"/>
          <w:szCs w:val="24"/>
        </w:rPr>
        <w:t>By: Barclays Capital Inc.  New York, NY</w:t>
      </w:r>
    </w:p>
    <w:sectPr w:rsidR="005D2499" w:rsidRPr="00B9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A"/>
    <w:rsid w:val="0086795B"/>
    <w:rsid w:val="00B9076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4DA90-ED9E-458A-BFB2-B92DF78B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0</DocSecurity>
  <Lines>32</Lines>
  <Paragraphs>9</Paragraphs>
  <ScaleCrop>false</ScaleCrop>
  <Company>SourceMedia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2019-03-28T18:57:00Z</dcterms:created>
  <dcterms:modified xsi:type="dcterms:W3CDTF">2019-03-28T19:00:00Z</dcterms:modified>
</cp:coreProperties>
</file>