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$2,290,105,000*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STATE OF CALIFORNIA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GENERAL OBLIGATION BONDS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------------</w:t>
      </w: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------------------------------------------------------------------------------------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PLEASE USE THIS SCALE FOR PRE-MARKETING PURPOSES ONLY.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</w:t>
      </w:r>
      <w:r>
        <w:rPr>
          <w:rFonts w:ascii="Arial" w:eastAsia="Times New Roman" w:hAnsi="Arial" w:cs="Arial"/>
          <w:color w:val="000000"/>
          <w:sz w:val="24"/>
          <w:szCs w:val="24"/>
        </w:rPr>
        <w:t>-------------</w:t>
      </w: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------------------------------------------------------------------------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Retail Order Period: Wednesday, September 4, 2019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Institutional Pricing: Thursday, September 5, 2019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------------------------------------------------------------------------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$ 652,945,000*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VARIOUS PURPOSE GENERAL OBLIGATION BONDS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MOODY'S: Aa3 S&amp;P: AA- FITCH: AA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/17/2019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1419">
        <w:rPr>
          <w:rFonts w:ascii="Arial" w:eastAsia="Times New Roman" w:hAnsi="Arial" w:cs="Arial"/>
          <w:color w:val="000000"/>
          <w:sz w:val="24"/>
          <w:szCs w:val="24"/>
        </w:rPr>
        <w:t>DUE: 10/01</w:t>
      </w:r>
    </w:p>
    <w:p w:rsid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MATURITY AMOUNT* COUPON PRICE SPREAD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10/01/2023 25,000M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1.06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107.649)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10/01/2023 50,000M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1.06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111.593)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10/01/2024 25,000M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1.08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109.391)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10/01/2024 50,000M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1.08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114.282)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10/01/2030 76,475M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1.40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133.605 Approx. YTM 1.656)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10/01/2033 50,000M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1.31  -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04/01/2024 116.208 Approx. YTM 3.526)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10/01/2044 176,470M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2.21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42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116.036 Approx. YTM 3.077)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10/01/2049 125,000M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2.66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82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102.977 Approx. YTM 2.852)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10/01/2049 75,000M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2.01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17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127.058 Approx. YTM 3.531)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CALL FEATURES: Optional call in 10/01/2029 @ 100.00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EXCEPT: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10/01/2033 Optional call in 04/01/2024 @ 100.00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</w:t>
      </w:r>
    </w:p>
    <w:p w:rsid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$1,637,160,000*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VARIOUS PURPOSE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GENERAL OBLIGATION REFUNDING BONDS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MOODY'S: Aa3 S&amp;P: AA- FITCH: AA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:09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/17/2019 FIRST COUPON:04/01/2020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1419">
        <w:rPr>
          <w:rFonts w:ascii="Arial" w:eastAsia="Times New Roman" w:hAnsi="Arial" w:cs="Arial"/>
          <w:color w:val="000000"/>
          <w:sz w:val="24"/>
          <w:szCs w:val="24"/>
        </w:rPr>
        <w:t>DUE: 04/01 &amp; 10/01</w:t>
      </w:r>
    </w:p>
    <w:p w:rsid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MATURITY AMOUNT* COUPON PRICE SPREAD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04/01/2020 50,105M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101.066)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10/01/2020 93,930M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102.051)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10/01/2021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1.03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105.976)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10/01/2021 60,130M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1.03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107.989)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10/01/2022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108.800)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10/01/2022 64,420M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1.05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111.783)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10/01/2025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1.11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116.834)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10/01/2025 68,625M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1.11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7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122.660)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10/01/2026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1.15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119.216)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10/01/2026 68,735M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1.15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125.959)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10/01/2027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1.20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121.395)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10/01/2027 68,820M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1.20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129.037)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10/01/2028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1.27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123.242)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10/01/2028 68,925M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1.27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131.756)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10/01/2029 25,000M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1.34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11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124.906)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10/01/2029 69,035M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1.34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11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134.270)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10/01/2031 75,890M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1.45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133.053 Approx. YTM 1.913)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10/01/2032 75,890M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1.51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13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132.395 Approx. YTM 2.140)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10/01/2034 151,190M 4.00% 1.85 +40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119.614 Approx. YTM 2.435)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10/01/2035 79,130M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1.65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16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130.874 Approx. YTM 2.628)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10/01/2036 149,030M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1.94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41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118.708 Approx. YTM 2.631)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10/01/2037 80,685M 3.00%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2.39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82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105.415 Approx. YTM 2.621)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10/01/2037 75,000M 5.00% 1.74 0.275 +17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129.908 Approx. YTM 2.865)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10/01/2039 82,620M 4.00%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2.07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42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117.412 Approx. YTM 2.853)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10/01/2039 80,000M 5.00% </w:t>
      </w:r>
      <w:proofErr w:type="gram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1.82  +</w:t>
      </w:r>
      <w:proofErr w:type="gramEnd"/>
      <w:r w:rsidRPr="00C61419">
        <w:rPr>
          <w:rFonts w:ascii="Arial" w:eastAsia="Times New Roman" w:hAnsi="Arial" w:cs="Arial"/>
          <w:color w:val="000000"/>
          <w:sz w:val="24"/>
          <w:szCs w:val="24"/>
        </w:rPr>
        <w:t>17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(Approx. $ Price PTC 10/01/2029 129.055 Approx. YTM 3.051)</w:t>
      </w:r>
    </w:p>
    <w:p w:rsid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CALL FEATURES: Optional call in 10/01/2029 @ 100.00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* APPROXIMATE SUBJECT TO CHANGE</w:t>
      </w:r>
    </w:p>
    <w:p w:rsidR="00C61419" w:rsidRDefault="00C61419" w:rsidP="00C6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Jefferies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Stifel, Nicolaus &amp; Company,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280 Securities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Academy Securities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Barclays Capital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Blaylock Van,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BNYMellon</w:t>
      </w:r>
      <w:proofErr w:type="spellEnd"/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 Capital Markets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Cabrera Capital Markets,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Caldwell Sutter Capital,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D.A. Davidson &amp; Co.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FTN Financial Capital Markets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George K. Baum &amp; Company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Goldman Sachs &amp; Co.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Mesirow Financial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Mischler</w:t>
      </w:r>
      <w:proofErr w:type="spellEnd"/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 Financial Group,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Piper </w:t>
      </w:r>
      <w:proofErr w:type="spellStart"/>
      <w:r w:rsidRPr="00C61419">
        <w:rPr>
          <w:rFonts w:ascii="Arial" w:eastAsia="Times New Roman" w:hAnsi="Arial" w:cs="Arial"/>
          <w:color w:val="000000"/>
          <w:sz w:val="24"/>
          <w:szCs w:val="24"/>
        </w:rPr>
        <w:t>Jaffray</w:t>
      </w:r>
      <w:proofErr w:type="spellEnd"/>
      <w:r w:rsidRPr="00C61419">
        <w:rPr>
          <w:rFonts w:ascii="Arial" w:eastAsia="Times New Roman" w:hAnsi="Arial" w:cs="Arial"/>
          <w:color w:val="000000"/>
          <w:sz w:val="24"/>
          <w:szCs w:val="24"/>
        </w:rPr>
        <w:t xml:space="preserve"> &amp; Co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Raymond James &amp; Associates,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RBC Capital Markets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TD Securities (USA) LLC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Williams Capital Group L.P.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UBS Financial Services Inc.</w:t>
      </w:r>
    </w:p>
    <w:p w:rsidR="00C6141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U.S. Bancorp Investments Inc.</w:t>
      </w:r>
    </w:p>
    <w:p w:rsidR="005D2499" w:rsidRPr="00C61419" w:rsidRDefault="00C61419" w:rsidP="00C6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419">
        <w:rPr>
          <w:rFonts w:ascii="Arial" w:eastAsia="Times New Roman" w:hAnsi="Arial" w:cs="Arial"/>
          <w:color w:val="000000"/>
          <w:sz w:val="24"/>
          <w:szCs w:val="24"/>
        </w:rPr>
        <w:t>Wells Fargo Securities (trade name for Wells Fargo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1419">
        <w:rPr>
          <w:rFonts w:ascii="Arial" w:eastAsia="Times New Roman" w:hAnsi="Arial" w:cs="Arial"/>
          <w:color w:val="000000"/>
          <w:sz w:val="24"/>
          <w:szCs w:val="24"/>
        </w:rPr>
        <w:t>Bank N.A. Municipal Products Group)</w:t>
      </w:r>
    </w:p>
    <w:sectPr w:rsidR="005D2499" w:rsidRPr="00C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19"/>
    <w:rsid w:val="0086795B"/>
    <w:rsid w:val="00C61419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1703-2D56-46B8-AA9B-5FBC0940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3768</Characters>
  <Application>Microsoft Office Word</Application>
  <DocSecurity>0</DocSecurity>
  <Lines>31</Lines>
  <Paragraphs>8</Paragraphs>
  <ScaleCrop>false</ScaleCrop>
  <Company>SourceMedia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2019-09-03T15:46:00Z</dcterms:created>
  <dcterms:modified xsi:type="dcterms:W3CDTF">2019-09-03T15:58:00Z</dcterms:modified>
</cp:coreProperties>
</file>