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$538,350,000*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CITY OF HOUSTON, TEXAS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Combined Utility System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First Lien Revenue Refunding Bonds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COMBINED UTILITY SYSTEM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FIRST LIEN REVENUE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REFUNDING BONDS,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TAXABLE SERIES 2019C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VERBAL AWARD.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COUPONS ARE SET.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*********************** ATTENTION **********************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THE BONDS ARE TAXABLE MUNICIPAL SECURITIES AND THIS OFFERING IS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S</w:t>
      </w: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UBJECT TO REGULATION BY THE MUNICIPAL SECURITIES RULEMAKING BOARD. ALL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ACTIVITY UNDERTAKEN WITH RESPECT TO THIS OFFERING MUST BE SUPERVISED BY A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MUNICIPAL SECURITIES PRINCIPAL.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Aa2                S&amp;P: AA                 FITCH: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(Confirmed)             (Confirmed)              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:09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/01/2019   FIRST COUPON:11/15/2019   INTEREST ACCRUES:09/17/2019  DUE: 11/15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11/15/2020      5,420M    1.662%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11/15/2021      5,520M    1.712%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11/15/2022     17,300M    1.716%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11/15/2023     17,635M    1.746%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11/15/2024      5,070M    1.826%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11/15/2025      5,175M    1.949%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11/15/2026      5,285M    2.049%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11/15/2027      5,405M    2.155%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11/15/2028     27,065M    2.205%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11/15/2029     46,435M    2.255%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11/15/2030     53,615M    2.355%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11/15/2031     49,550M    2.455%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11/15/2032     49,425M    2.505%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11/15/2033     51,250M    2.555%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11/15/2034     21,285M    2.605%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11/15/2035     21,940M    2.655%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11/15/2042    150,975M    2.984%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TAXABLE INFORMATION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TREASURY   SPREAD VS. TREASURY   </w:t>
      </w:r>
      <w:proofErr w:type="spell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TREASURY</w:t>
      </w:r>
      <w:proofErr w:type="spell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COUPON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YIELD                           COUPON    MATURITY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11/15/2020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1.512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15.00                    1.750  07/31/2021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11/15/2021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1.512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20.00                    1.750  07/31/2021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11/15/2022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1.446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27.00                    1.500  08/15/2022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11/15/2023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1.426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32.00                    1.750  07/31/2024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11/15/2024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1.426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40.00                    1.750  07/31/2024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11/15/2025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1.499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45.00                    1.875  07/31/2026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11/15/2026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1.499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55.00                    1.875  07/31/2026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11/15/2027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60.00 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11/15/2028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65.00 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11/15/2029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70.00 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11/15/2030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80.00 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11/15/2031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90.00 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11/15/2032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95.00 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11/15/2033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100.00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11/15/2034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105.00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11/15/2035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1.555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110.00                   1.625  08/15/2029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11/15/2042     </w:t>
      </w:r>
      <w:proofErr w:type="gramStart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2.034  +</w:t>
      </w:r>
      <w:proofErr w:type="gramEnd"/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95.00                    2.875  05/15/2049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11/15/2029 @ 100.00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2042 Term Bond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11/15/2036   22,645M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11/15/2037   23,385M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11/15/2038   31,220M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11/15/2039   32,230M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11/15/2040   33,275M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11/15/2041    4,045M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11/15/2042    4,175M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Loop Capital Markets            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Morgan Stanley &amp; Co. LLC        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Goldman Sachs &amp; Co. LLC         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Raymond James &amp; Associates, Inc.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UBS Financial Services Inc.                         </w:t>
      </w:r>
    </w:p>
    <w:p w:rsidR="00EC7433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EC7433" w:rsidRDefault="00EC7433" w:rsidP="00EC7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C7433">
        <w:rPr>
          <w:rFonts w:ascii="Lucida Console" w:eastAsia="Times New Roman" w:hAnsi="Lucida Console" w:cs="Courier New"/>
          <w:color w:val="505050"/>
          <w:sz w:val="18"/>
          <w:szCs w:val="18"/>
        </w:rPr>
        <w:t>By: Citigroup Global Markets Inc.  New York, NY</w:t>
      </w:r>
    </w:p>
    <w:sectPr w:rsidR="005D2499" w:rsidRPr="00EC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3"/>
    <w:rsid w:val="0086795B"/>
    <w:rsid w:val="00D906B4"/>
    <w:rsid w:val="00EC7433"/>
    <w:rsid w:val="00ED2B9A"/>
    <w:rsid w:val="00F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40A5F-A19D-4DB5-8DC3-B72D2F5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4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2019-08-20T19:06:00Z</dcterms:created>
  <dcterms:modified xsi:type="dcterms:W3CDTF">2019-08-20T19:06:00Z</dcterms:modified>
</cp:coreProperties>
</file>